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Judicial remedy</w:t>
      </w:r>
    </w:p>
    <w:p>
      <w:pPr>
        <w:jc w:val="both"/>
        <w:spacing w:before="100" w:after="100"/>
        <w:ind w:start="360"/>
        <w:ind w:firstLine="360"/>
      </w:pPr>
      <w:r>
        <w:rPr>
          <w:b/>
        </w:rPr>
        <w:t>1</w:t>
        <w:t xml:space="preserve">.  </w:t>
      </w:r>
      <w:r>
        <w:rPr>
          <w:b/>
        </w:rPr>
        <w:t xml:space="preserve">Action by putative holder.</w:t>
        <w:t xml:space="preserve"> </w:t>
      </w:r>
      <w:r>
        <w:t xml:space="preserve"> </w:t>
      </w:r>
      <w:r>
        <w:t xml:space="preserve">Not later than 90 days after receiving notice of the administrator's determination under </w:t>
      </w:r>
      <w:r>
        <w:t>section 2170</w:t>
      </w:r>
      <w:r>
        <w:t xml:space="preserve">, the putative holder may:</w:t>
      </w:r>
    </w:p>
    <w:p>
      <w:pPr>
        <w:jc w:val="both"/>
        <w:spacing w:before="100" w:after="0"/>
        <w:ind w:start="720"/>
      </w:pPr>
      <w:r>
        <w:rPr/>
        <w:t>A</w:t>
        <w:t xml:space="preserve">.  </w:t>
      </w:r>
      <w:r>
        <w:rPr/>
      </w:r>
      <w:r>
        <w:t xml:space="preserve">File an action against the administrator in the Superior Court of Kennebec County challenging the administrator's determination of liability and seeking a declaration that the determination is unenforceable, in whole or in part;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Pay the amount or deliver the property determined by the administrator to be paid or delivered to the administrator and, not later than 6 months after payment or delivery, file an action against the administrator in the Superior Court of Kennebec County for a refund of all or part of the amount paid or return of all or part of the property delivered.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Continue action.</w:t>
        <w:t xml:space="preserve"> </w:t>
      </w:r>
      <w:r>
        <w:t xml:space="preserve"> </w:t>
      </w:r>
      <w:r>
        <w:t xml:space="preserve">If a putative holder pays or delivers property that the administrator determined must be paid or delivered to the administrator at any time after the putative holder files an action under </w:t>
      </w:r>
      <w:r>
        <w:t>subsection 1, paragraph A</w:t>
      </w:r>
      <w:r>
        <w:t xml:space="preserve">, the court shall continue the action as if it had been filed originally as an action for a refund or return of property under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§2184. Judicial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Judicial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§2184. JUDICIAL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