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Legal effect of official acts</w:t>
      </w:r>
    </w:p>
    <w:p>
      <w:pPr>
        <w:jc w:val="both"/>
        <w:spacing w:before="100" w:after="100"/>
        <w:ind w:start="360"/>
        <w:ind w:firstLine="360"/>
      </w:pPr>
      <w:r>
        <w:rPr/>
      </w:r>
      <w:r>
        <w:rPr/>
      </w:r>
      <w:r>
        <w:t xml:space="preserve">The acknowledgment or proof, taken according to the laws of this State and certified by any such commissioner under his seal of office, annexed to or indorsed on such instrument, shall have the same force and effect as if done by an officer authorized to perform such acts within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Legal effect of official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Legal effect of official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§252. LEGAL EFFECT OF OFFICIAL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