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Certification</w:t>
      </w:r>
    </w:p>
    <w:p>
      <w:pPr>
        <w:jc w:val="both"/>
        <w:spacing w:before="100" w:after="100"/>
        <w:ind w:start="360"/>
        <w:ind w:firstLine="360"/>
      </w:pPr>
      <w:r>
        <w:rPr/>
      </w:r>
      <w:r>
        <w:rPr/>
      </w:r>
      <w:r>
        <w:t xml:space="preserve">When the justice of the peace at the hearing is satisfied by the testimony of witnesses that they saw the deed duly executed by the grantor, he shall certify the same thereon, and state in his certificate the presence or absence of the grantor.</w:t>
      </w:r>
      <w:r>
        <w:t xml:space="preserve">  </w:t>
      </w:r>
      <w:r xmlns:wp="http://schemas.openxmlformats.org/drawingml/2010/wordprocessingDrawing" xmlns:w15="http://schemas.microsoft.com/office/word/2012/wordml">
        <w:rPr>
          <w:rFonts w:ascii="Arial" w:hAnsi="Arial" w:cs="Arial"/>
          <w:sz w:val="22"/>
          <w:szCs w:val="22"/>
        </w:rPr>
        <w:t xml:space="preserve">[PL 1987, c. 736,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§A117 (AMD). PL 1987, c. 736,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§305.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