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Conveyances for use of county</w:t>
      </w:r>
    </w:p>
    <w:p>
      <w:pPr>
        <w:jc w:val="both"/>
        <w:spacing w:before="100" w:after="100"/>
        <w:ind w:start="360"/>
        <w:ind w:firstLine="360"/>
      </w:pPr>
      <w:r>
        <w:rPr/>
      </w:r>
      <w:r>
        <w:rPr/>
      </w:r>
      <w:r>
        <w:t xml:space="preserve">Conveyances, in whatever form, made to the inhabitants of a county, or to its treasurer, or to a person or committee for its benefit, are as effectual as if made in the corporate name of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Conveyances for use of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Conveyances for use of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§453. CONVEYANCES FOR USE OF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