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§479-C. Conservation lands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§479-C. Conservation lands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§479-C. CONSERVATION LANDS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