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589-C</w:t>
        <w:t xml:space="preserve">.  </w:t>
      </w:r>
      <w:r>
        <w:rPr>
          <w:b/>
        </w:rPr>
        <w:t xml:space="preserve">Violation</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subchapter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F, §1 (AMD).]</w:t>
      </w:r>
    </w:p>
    <w:p>
      <w:pPr>
        <w:jc w:val="both"/>
        <w:spacing w:before="100" w:after="0"/>
        <w:ind w:start="360"/>
        <w:ind w:firstLine="360"/>
      </w:pPr>
      <w:r>
        <w:rPr>
          <w:b/>
        </w:rPr>
        <w:t>2</w:t>
        <w:t xml:space="preserve">.  </w:t>
      </w:r>
      <w:r>
        <w:rPr>
          <w:b/>
        </w:rPr>
        <w:t xml:space="preserve">Intentional violation.</w:t>
        <w:t xml:space="preserve"> </w:t>
      </w:r>
      <w:r>
        <w:t xml:space="preserve"> </w:t>
      </w:r>
      <w:r>
        <w:t xml:space="preserve">Any intentional violation of this subchapter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w:pPr>
        <w:jc w:val="both"/>
        <w:spacing w:before="100" w:after="0"/>
        <w:ind w:start="360"/>
        <w:ind w:firstLine="360"/>
      </w:pPr>
      <w:r>
        <w:rPr>
          <w:b/>
        </w:rPr>
        <w:t>3</w:t>
        <w:t xml:space="preserve">.  </w:t>
      </w:r>
      <w:r>
        <w:rPr>
          <w:b/>
        </w:rPr>
        <w:t xml:space="preserve">Subsequent violations.</w:t>
        <w:t xml:space="preserve"> </w:t>
      </w:r>
      <w:r>
        <w:t xml:space="preserve"> </w:t>
      </w:r>
      <w:r>
        <w:t xml:space="preserve">Any violation of this subchapter constitutes a civil violation for which a forfeiture not to exceed $100 may be adjudged in the case of a first violation and a forfeiture not to exceed $500 may be adjudged in the case of 2nd and subsequent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RR 1993, c. 1, §102 (COR). PL 2013, c. 424,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§589-C.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§589-C.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§589-C.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