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w:t>
        <w:t xml:space="preserve">.  </w:t>
      </w:r>
      <w:r>
        <w:rPr>
          <w:b/>
        </w:rPr>
        <w:t xml:space="preserve">Statutory forms; incorporation by reference; title</w:t>
      </w:r>
    </w:p>
    <w:p>
      <w:pPr>
        <w:jc w:val="both"/>
        <w:spacing w:before="100" w:after="100"/>
        <w:ind w:start="360"/>
        <w:ind w:firstLine="360"/>
      </w:pPr>
      <w:r>
        <w:rPr/>
      </w:r>
      <w:r>
        <w:rPr/>
      </w:r>
      <w:r>
        <w:t xml:space="preserve">The forms set forth in </w:t>
      </w:r>
      <w:r>
        <w:t>section 775</w:t>
      </w:r>
      <w:r>
        <w:t xml:space="preserve"> may be used and shall be sufficient for their respective purposes. They shall be known as "Statutory Short Form Deeds" and may be referred to as such. They may be altered as circumstances require, and the authorization of such forms shall not prevent the use of other forms. Wherever the phrase, "incorporation by reference" is used in this chapter, the method of incorporation as indicated in said forms shall be sufficient, but shall not preclude other methods. This chapter may be cited as the "Short Form Deeds Act".</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§761. Statutory forms; incorporation by reference;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 Statutory forms; incorporation by reference;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§761. STATUTORY FORMS; INCORPORATION BY REFERENCE;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