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Quitclaim deed with covenant</w:t>
      </w:r>
    </w:p>
    <w:p>
      <w:pPr>
        <w:jc w:val="both"/>
        <w:spacing w:before="100" w:after="100"/>
        <w:ind w:start="360"/>
        <w:ind w:firstLine="360"/>
      </w:pPr>
      <w:r>
        <w:rPr/>
      </w:r>
      <w:r>
        <w:rPr/>
      </w:r>
      <w:r>
        <w:t xml:space="preserve">A deed in substance following the form entitled "Quitclaim Deed With Covenant" shall when duly executed have the force and effect of a deed in fee simple to the grantee, his heirs and assigns forever, with covenant on the part of the grantor, for himself, with the grantee, his heirs and assigns forever, that at the time of the delivery of such deed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 Quitclaim deed with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Quitclaim deed with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§765. QUITCLAIM DEED WITH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