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 retroactive effect</w:t>
      </w:r>
    </w:p>
    <w:p>
      <w:pPr>
        <w:jc w:val="both"/>
        <w:spacing w:before="100" w:after="100"/>
        <w:ind w:start="360"/>
        <w:ind w:firstLine="360"/>
      </w:pPr>
      <w:r>
        <w:rPr/>
      </w:r>
      <w:r>
        <w:rPr/>
      </w:r>
      <w:r>
        <w:t>Section 901</w:t>
      </w:r>
      <w:r>
        <w:t xml:space="preserve"> shall not apply to any such transfer made prior to August 20, 1951, unless the persons in whose names said securities have been issued or are held, file with the corporation issuing such securities or with its transfer agent or registrar an agreement indicating their intention that </w:t>
      </w:r>
      <w:r>
        <w:t>section 901</w:t>
      </w:r>
      <w:r>
        <w:t xml:space="preserve"> shall apply.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§902. -- retroactive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 retroactive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§902. -- RETROACTIVE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