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3013</w:t>
        <w:t xml:space="preserve">.  </w:t>
      </w:r>
      <w:r>
        <w:rPr>
          <w:b/>
        </w:rPr>
        <w:t xml:space="preserve">Special response teams</w:t>
      </w:r>
    </w:p>
    <w:p>
      <w:pPr>
        <w:jc w:val="both"/>
        <w:spacing w:before="100" w:after="100"/>
        <w:ind w:start="360"/>
        <w:ind w:firstLine="360"/>
      </w:pPr>
      <w:r>
        <w:rPr/>
      </w:r>
      <w:r>
        <w:rPr/>
      </w:r>
      <w:r>
        <w:t xml:space="preserve">The commissioner may establish ongoing special response teams consisting of personnel from more than one facility or division of the department to assist, as determined by the commissioner, in responding to special situations anywhere in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§3013. Special response teams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§3013. Special response teams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§3013. SPECIAL RESPONSE TEAMS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