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3031-B</w:t>
        <w:t xml:space="preserve">.  </w:t>
      </w:r>
      <w:r>
        <w:rPr>
          <w:b/>
        </w:rPr>
        <w:t xml:space="preserve">Limitation on reimbursement rate to medical service providers for services outside department facility</w:t>
      </w:r>
    </w:p>
    <w:p>
      <w:pPr>
        <w:jc w:val="both"/>
        <w:spacing w:before="100" w:after="100"/>
        <w:ind w:start="360"/>
        <w:ind w:firstLine="360"/>
      </w:pPr>
      <w:r>
        <w:rPr/>
      </w:r>
      <w:r>
        <w:rPr/>
      </w:r>
      <w:r>
        <w:t xml:space="preserve">Effective July 1, 2004, the department or its contracted medical provider may pay to a provider of a medical service for a person residing in a correctional or detention facility an amount no greater than the reimbursement rate applicable to that provider and that service as established by rule of the Department of Human Services for the MaineCare program under </w:t>
      </w:r>
      <w:r>
        <w:t>Title 22</w:t>
      </w:r>
      <w:r>
        <w:t xml:space="preserve">.  This limitation applies to all medical care services, goods, prescription drugs and medications provided to a person outside the facility.</w:t>
      </w:r>
      <w:r>
        <w:t xml:space="preserve">  </w:t>
      </w:r>
      <w:r xmlns:wp="http://schemas.openxmlformats.org/drawingml/2010/wordprocessingDrawing" xmlns:w15="http://schemas.microsoft.com/office/word/2012/wordml">
        <w:rPr>
          <w:rFonts w:ascii="Arial" w:hAnsi="Arial" w:cs="Arial"/>
          <w:sz w:val="22"/>
          <w:szCs w:val="22"/>
        </w:rPr>
        <w:t xml:space="preserve">[PL 2003, c. 513,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§3031-B. Limitation on reimbursement rate to medical service providers for services outside department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§3031-B. Limitation on reimbursement rate to medical service providers for services outside department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§3031-B. LIMITATION ON REIMBURSEMENT RATE TO MEDICAL SERVICE PROVIDERS FOR SERVICES OUTSIDE DEPARTMENT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