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§3033. Work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Work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§3033. WORK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