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3073</w:t>
        <w:t xml:space="preserve">.  </w:t>
      </w:r>
      <w:r>
        <w:rPr>
          <w:b/>
        </w:rPr>
        <w:t xml:space="preserve">Transportation to and from courts</w:t>
      </w:r>
    </w:p>
    <w:p>
      <w:pPr>
        <w:jc w:val="both"/>
        <w:spacing w:before="100" w:after="100"/>
        <w:ind w:start="360"/>
        <w:ind w:firstLine="360"/>
      </w:pPr>
      <w:r>
        <w:rPr/>
      </w:r>
      <w:r>
        <w:rPr/>
      </w:r>
      <w:r>
        <w:t xml:space="preserve">Notwithstanding any other provision of law, transportation of a prisoner between a correctional facility and a court in connection with the prosecution of the prisoner for a crime committed within a correctional facility is the responsibility of the department, unless the department and the sheriff agree that the sheriff will undertake the responsibility of the transportation at an agreed-upon rate of reimbursement to the county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§3073. Transportation to and from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§3073. Transportation to and from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§3073. TRANSPORTATION TO AND FROM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