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Establishment</w:t>
      </w:r>
    </w:p>
    <w:p>
      <w:pPr>
        <w:jc w:val="both"/>
        <w:spacing w:before="100" w:after="100"/>
        <w:ind w:start="360"/>
        <w:ind w:firstLine="360"/>
      </w:pPr>
      <w:r>
        <w:rPr/>
      </w:r>
      <w:r>
        <w:rPr/>
      </w:r>
      <w:r>
        <w:t xml:space="preserve">The Maine Correctional Center in South Windham is established for the confinement and rehabilitation of persons, male and female,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1995, c. 502, Pt. F, §24 (RPR).]</w:t>
      </w:r>
    </w:p>
    <w:p>
      <w:pPr>
        <w:jc w:val="both"/>
        <w:spacing w:before="100" w:after="0"/>
        <w:ind w:start="360"/>
        <w:ind w:firstLine="360"/>
      </w:pPr>
      <w:r>
        <w:rPr>
          <w:b/>
        </w:rPr>
        <w:t>1</w:t>
        <w:t xml:space="preserve">.  </w:t>
      </w:r>
      <w:r>
        <w:rPr>
          <w:b/>
        </w:rPr>
        <w:t xml:space="preserve">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2</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3</w:t>
        <w:t xml:space="preserve">.  </w:t>
      </w:r>
      <w:r>
        <w:rPr>
          <w:b/>
        </w:rPr>
        <w:t xml:space="preserve">Adult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4</w:t>
        <w:t xml:space="preserve">.  </w:t>
      </w:r>
      <w:r>
        <w:rPr>
          <w:b/>
        </w:rPr>
        <w:t xml:space="preserve">Juvenile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§§40,59 (AMD). PL 1983, c. 816, §A41 (AMD). PL 1995, c. 502, §F24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