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§3811. Return to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Return to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§3811. RETURN TO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