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5801</w:t>
        <w:t xml:space="preserve">.  </w:t>
      </w:r>
      <w:r>
        <w:rPr>
          <w:b/>
        </w:rPr>
        <w:t xml:space="preserve">Applicability</w:t>
      </w:r>
    </w:p>
    <w:p>
      <w:pPr>
        <w:jc w:val="both"/>
        <w:spacing w:before="100" w:after="100"/>
        <w:ind w:start="360"/>
        <w:ind w:firstLine="360"/>
      </w:pPr>
      <w:r>
        <w:rPr/>
      </w:r>
      <w:r>
        <w:rPr/>
      </w:r>
      <w:r>
        <w:t xml:space="preserve">This subchapter applies only to those persons in the custody of the Department of Corrections pursuant to a sentence imposed under the law in effect prior to May 1, 1976.</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§5801.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§5801.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§5801.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