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9401</w:t>
        <w:t xml:space="preserve">.  </w:t>
      </w:r>
      <w:r>
        <w:rPr>
          <w:b/>
        </w:rPr>
        <w:t xml:space="preserve">Purpose and policy--Article I</w:t>
      </w:r>
    </w:p>
    <w:p>
      <w:pPr>
        <w:jc w:val="both"/>
        <w:spacing w:before="100" w:after="100"/>
        <w:ind w:start="360"/>
        <w:ind w:firstLine="360"/>
      </w:pPr>
      <w:r>
        <w:rPr/>
      </w:r>
      <w:r>
        <w:rPr/>
      </w:r>
      <w:r>
        <w:t xml:space="preserve">The party states, desiring by common action to fully utilize and improve their institutional facilities and provide adequate programs for the confinement, treatment and rehabilitation of various types of offenders, declare that it is the policy of each of the party states to provide such facilities and programs on a basis of cooperation with one another, thereby serving the best interests of such offenders and of society and effecting economies in capital expenditures and operational costs.  The purpose of this compact is to provide for the mutual development and execution of such programs of cooperation for the confinement, treatment and rehabilitation of offenders with the most economical use of human and material resources.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§9401. Purpose and policy--Article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§9401. Purpose and policy--Article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§9401. PURPOSE AND POLICY--ARTICLE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