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the officials may direct that the confinement be within an institution within the territory of the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section,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§9404. Procedures and rights--Article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Procedures and rights--Article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§9404. PROCEDURES AND RIGHTS--ARTICLE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