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9606</w:t>
        <w:t xml:space="preserve">.  </w:t>
      </w:r>
      <w:r>
        <w:rPr>
          <w:b/>
        </w:rPr>
        <w:t xml:space="preserve">Time periods tolled--Article VI</w:t>
      </w:r>
    </w:p>
    <w:p>
      <w:pPr>
        <w:jc w:val="both"/>
        <w:spacing w:before="100" w:after="100"/>
        <w:ind w:start="360"/>
        <w:ind w:firstLine="360"/>
      </w:pPr>
      <w:r>
        <w:rPr/>
      </w:r>
      <w:r>
        <w:rPr/>
      </w:r>
      <w:r>
        <w:t xml:space="preserve">In determining the duration and expiration dates of the time periods provided in </w:t>
      </w:r>
      <w:r>
        <w:t>Articles III</w:t>
      </w:r>
      <w:r>
        <w:t xml:space="preserve"> and </w:t>
      </w:r>
      <w:r>
        <w:t>IV</w:t>
      </w:r>
      <w:r>
        <w:t xml:space="preserve">, the running of said time periods shall be tolled whenever and for as long as the prisoner is unable to stand trial, as determined by the court having jurisdiction of the matter.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No provision of this agreement, and no remedy made available by this agreement, shall apply to any person who is adjudged to be mentally ill.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§9606. Time periods tolled--Article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§9606. Time periods tolled--Article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§9606. TIME PERIODS TOLLED--ARTICLE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