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1995, c. 2, §83 (COR). PL 1995, c. 560, §K82 (AMD). PL 1995, c. 560, §K83 (AFF). PL 2001, c. 354, §§1,3 (AMD). PL 2007, c. 539, Pt. N, §58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