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§13007. Court order to have effect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Court order to have effect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§13007. COURT ORDER TO HAVE EFFECT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