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Negotiations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Negotiations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§1602. NEGOTIATIONS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