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General</w:t>
      </w:r>
    </w:p>
    <w:p>
      <w:pPr>
        <w:jc w:val="both"/>
        <w:spacing w:before="100" w:after="100"/>
        <w:ind w:start="360"/>
        <w:ind w:firstLine="360"/>
      </w:pPr>
      <w:r>
        <w:rPr/>
      </w:r>
      <w:r>
        <w:rPr/>
      </w:r>
      <w:r>
        <w:t xml:space="preserve">The Department of Health and Human Services is responsible for the direction of the mental health programs in the state institutions and for the promotion and guidance of mental health programs within the communities of the State.</w:t>
      </w:r>
      <w:r>
        <w:t xml:space="preserve">  </w:t>
      </w:r>
      <w:r xmlns:wp="http://schemas.openxmlformats.org/drawingml/2010/wordprocessingDrawing" xmlns:w15="http://schemas.microsoft.com/office/word/2012/wordml">
        <w:rPr>
          <w:rFonts w:ascii="Arial" w:hAnsi="Arial" w:cs="Arial"/>
          <w:sz w:val="22"/>
          <w:szCs w:val="22"/>
        </w:rPr>
        <w:t xml:space="preserve">[PL 1995, c. 560, Pt. K, §31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§CCC15 (AMD). PL 1995, c. 560, §K31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