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Teenage Suicide Prevention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Teenage Suicide Prevention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§3007. TEENAGE SUICIDE PREVENTION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