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Legislative intent</w:t>
      </w:r>
    </w:p>
    <w:p>
      <w:pPr>
        <w:jc w:val="both"/>
        <w:spacing w:before="100" w:after="100"/>
        <w:ind w:start="360"/>
        <w:ind w:firstLine="360"/>
      </w:pPr>
      <w:r>
        <w:rPr/>
      </w:r>
      <w:r>
        <w:rPr/>
      </w:r>
      <w:r>
        <w:t xml:space="preserve">It is the intent of the Legislature that social and habilitative services directed at persons who have been diagnosed as having autism or other pervasive developmental disorders be developed and planned for, to the extent that resources permit,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542, Pt. A,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§CCC44 (AMD). PL 1995, c. 560, §K82 (AMD). PL 1995, c. 560, §K83 (AFF). PL 2001, c. 354, §3 (AMD). PL 2003, c. 689, §B6 (REV). PL 2011, c. 542, Pt. A, §132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§6001.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