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34-C</w:t>
      </w:r>
    </w:p>
    <w:p>
      <w:pPr>
        <w:jc w:val="center"/>
        <w:ind w:start="360"/>
        <w:spacing w:before="300" w:after="300"/>
      </w:pPr>
      <w:r>
        <w:rPr>
          <w:b/>
        </w:rPr>
        <w:t xml:space="preserve">DISTRIBUTED GENERATION</w:t>
      </w:r>
    </w:p>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34-C. DISTRIBUTED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34-C. DISTRIBUTED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