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§10115. Federal energy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§10115. FEDERAL ENERGY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