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sections 3209‑A and 3209‑B,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A, §55 (COR).]</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§55 (COR).]</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RR 2023, c. 2,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§3209-C. Net energy billing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§3209-C. NET ENERGY BILLING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