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§3209-D. Distributed generation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§3209-D. Distributed generation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§3209-D. DISTRIBUTED GENERATION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