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§3211-C. Solar and wind energy rebate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§3211-C. SOLAR AND WIND ENERGY REBATE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