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9/30/28)</w:t>
        <w:t xml:space="preserve"> </w:t>
      </w:r>
      <w:r>
        <w:rPr>
          <w:b/>
        </w:rPr>
        <w:t>(TEXT REPEALED 9/30/28)</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2028, the commission shall prepare a report assessing the effectiveness of arrearage management programs from October 1, 2024 through September 30, 2027, including the number of participants enrolled in the programs, the number of participants completing the programs, the number of participants who have failed to complete the programs, the dollar amount of arrears forgiven,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133rd Legislature.</w:t>
      </w:r>
    </w:p>
    <w:p>
      <w:pPr>
        <w:jc w:val="both"/>
        <w:spacing w:before="100" w:after="0"/>
        <w:ind w:start="360"/>
      </w:pPr>
      <w:r>
        <w:rPr/>
      </w:r>
      <w:r>
        <w:rPr/>
      </w:r>
      <w:r>
        <w:t xml:space="preserve">This subsection is repealed September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§§1-3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PL 2023, c. 534,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Needs-based low-income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§3214. NEEDS-BASED LOW-INCOME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