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Eminent domain</w:t>
      </w:r>
    </w:p>
    <w:p>
      <w:pPr>
        <w:jc w:val="both"/>
        <w:spacing w:before="100" w:after="100"/>
        <w:ind w:start="360"/>
        <w:ind w:firstLine="360"/>
      </w:pPr>
      <w:r>
        <w:rPr/>
      </w:r>
      <w:r>
        <w:rPr/>
      </w:r>
      <w:r>
        <w:t xml:space="preserve">A district may exercise the right of eminent domain under the same conditions and for the same purposes as other transmission and distribution utilities under </w:t>
      </w:r>
      <w:r>
        <w:t>section 3136</w:t>
      </w:r>
      <w:r>
        <w:t xml:space="preserve">.  Title to property acquired must be taken in the name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398, Pt. A, §91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§A91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§3911.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§3911.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