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Quasi-municipal body</w:t>
      </w:r>
    </w:p>
    <w:p>
      <w:pPr>
        <w:jc w:val="both"/>
        <w:spacing w:before="100" w:after="100"/>
        <w:ind w:start="360"/>
        <w:ind w:firstLine="360"/>
      </w:pPr>
      <w:r>
        <w:rPr/>
      </w:r>
      <w:r>
        <w:rPr/>
      </w:r>
      <w:r>
        <w:t xml:space="preserve">A municipal power district formed in accordance with this chapter is a quasi-municipal corporation within the meaning of the laws of this State, including, but not restricted to, </w:t>
      </w:r>
      <w:r>
        <w:t>Title 36, 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§3914. Quasi-municipal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Quasi-municipal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§3914. QUASI-MUNICIPAL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