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Tribal power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Tribal power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§3916. TRIBAL POWER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