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Refunding obligations; issuance</w:t>
      </w:r>
    </w:p>
    <w:p>
      <w:pPr>
        <w:jc w:val="both"/>
        <w:spacing w:before="100" w:after="100"/>
        <w:ind w:start="360"/>
        <w:ind w:firstLine="360"/>
      </w:pPr>
      <w:r>
        <w:rPr/>
      </w:r>
      <w:r>
        <w:rPr/>
      </w:r>
      <w:r>
        <w:t xml:space="preserve">The agency may provide for the issuance of refunding obligations for the purpose of refunding any obligations then outstanding which have been issued under this chapter, including the payment of any cost of issuance of them, if any, redemption premium on them and any interest accrued or to accrue to the date of redemption of these obligations and for any corporate purpose of the agency.  The issuance of the obligations, the maturities, and other details pertaining to them, the rights of their holders and the rights, duties and obligations of the agency in respect to them shall be governed by this chapter which relate to the issuance of obligations, insofar as those provisions may be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§4154. Refunding obligations;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Refunding obligations;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§4154. REFUNDING OBLIGATIONS;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