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4174</w:t>
        <w:t xml:space="preserve">.  </w:t>
      </w:r>
      <w:r>
        <w:rPr>
          <w:b/>
        </w:rPr>
        <w:t xml:space="preserve">Environmental regulation</w:t>
      </w:r>
    </w:p>
    <w:p>
      <w:pPr>
        <w:jc w:val="both"/>
        <w:spacing w:before="100" w:after="100"/>
        <w:ind w:start="360"/>
        <w:ind w:firstLine="360"/>
      </w:pPr>
      <w:r>
        <w:rPr/>
      </w:r>
      <w:r>
        <w:rPr/>
      </w:r>
      <w:r>
        <w:t xml:space="preserve">The agency is subject to the jurisdiction of the Department of Environmental Protection and the Maine Land Use Planning Commission in the same manner as any other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§4174. Environmental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§4174. Environmental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§4174. ENVIRONMENTAL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