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4375</w:t>
        <w:t xml:space="preserve">.  </w:t>
      </w:r>
      <w:r>
        <w:rPr>
          <w:b/>
        </w:rPr>
        <w:t xml:space="preserve">Commission action upon petition</w:t>
      </w:r>
    </w:p>
    <w:p>
      <w:pPr>
        <w:jc w:val="both"/>
        <w:spacing w:before="100" w:after="100"/>
        <w:ind w:start="360"/>
        <w:ind w:firstLine="360"/>
      </w:pPr>
      <w:r>
        <w:rPr/>
      </w:r>
      <w:r>
        <w:rPr/>
      </w:r>
      <w:r>
        <w:t xml:space="preserve">Upon petition of any person, the commission shall within a reasonable time conduct public hearings and make specific findings as to the conditions set forth in </w:t>
      </w:r>
      <w:r>
        <w:t>section 4374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§4375. Commission action upon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§4375. Commission action upon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§4375. COMMISSION ACTION UPON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