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Filing certificate of public convenience</w:t>
      </w:r>
    </w:p>
    <w:p>
      <w:pPr>
        <w:jc w:val="both"/>
        <w:spacing w:before="100" w:after="100"/>
        <w:ind w:start="360"/>
        <w:ind w:firstLine="360"/>
      </w:pPr>
      <w:r>
        <w:rPr/>
      </w:r>
      <w:r>
        <w:rPr/>
      </w:r>
      <w:r>
        <w:t xml:space="preserve">At least 30 days before beginning construction of an interstate natural gas pipeline within this State, the corporation shall file with the Secretary of State a certified copy of the certificate of public convenience and necessity issued to it under the Federal Natural Gas Act or, if the pipeline is intrastate, a certificate exhibiting the commission's authorization.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§4503. Filing certificate of public convenience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Filing certificate of public convenience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§4503. FILING CERTIFICATE OF PUBLIC CONVENIENCE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