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4513</w:t>
        <w:t xml:space="preserve">.  </w:t>
      </w:r>
      <w:r>
        <w:rPr>
          <w:b/>
        </w:rPr>
        <w:t xml:space="preserve">Interstate and foreign commerce not affected</w:t>
      </w:r>
    </w:p>
    <w:p>
      <w:pPr>
        <w:jc w:val="both"/>
        <w:spacing w:before="100" w:after="100"/>
        <w:ind w:start="360"/>
        <w:ind w:firstLine="360"/>
      </w:pPr>
      <w:r>
        <w:rPr/>
      </w:r>
      <w:r>
        <w:rPr/>
      </w:r>
      <w:r>
        <w:t xml:space="preserve">No provision of this chapter or of any order or rule under this chapter applies to or may be construed to apply to interstate or foreign commerce, except as far as the provision is effective pursuant to the Constitution of the United States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§4513. Interstate and foreign commerce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§4513. Interstate and foreign commerce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§4513. INTERSTATE AND FOREIGN COMMERCE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