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Account of subsidiary business</w:t>
      </w:r>
    </w:p>
    <w:p>
      <w:pPr>
        <w:jc w:val="both"/>
        <w:spacing w:before="100" w:after="100"/>
        <w:ind w:start="360"/>
        <w:ind w:firstLine="360"/>
      </w:pPr>
      <w:r>
        <w:rPr/>
      </w:r>
      <w:r>
        <w:rPr/>
      </w:r>
      <w:r>
        <w:t xml:space="preserve">Every public utility engaged directly or indirectly in any other subsidiary business shall, if ordered by the commission, keep and render separately to the commission the accounts of the subsidiary business in the manner and form set out in </w:t>
      </w:r>
      <w:r>
        <w:t>section 501</w:t>
      </w:r>
      <w:r>
        <w:t xml:space="preserve">, in which case all the provisions of this Title shall apply to the books, accounts, papers and records of the subsidiary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Account of subsidiary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Account of subsidiary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§503. ACCOUNT OF SUBSIDIARY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