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§6803. Council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Council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§6803. COUNCIL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