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7222</w:t>
        <w:t xml:space="preserve">.  </w:t>
      </w:r>
      <w:r>
        <w:rPr>
          <w:b/>
        </w:rPr>
        <w:t xml:space="preserve">Revenue requirements of service providers</w:t>
      </w:r>
    </w:p>
    <w:p>
      <w:pPr>
        <w:jc w:val="both"/>
        <w:spacing w:before="100" w:after="100"/>
        <w:ind w:start="360"/>
        <w:ind w:firstLine="360"/>
      </w:pPr>
      <w:r>
        <w:rPr/>
      </w:r>
      <w:r>
        <w:rPr/>
      </w:r>
      <w:r>
        <w:t xml:space="preserve">The initial rates for provider of last resort service are those rates in effect for basic local exchange service for each incumbent local exchange carrier in the service area of that carrier as of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§7222. Revenue requirements of service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§7222. Revenue requirements of service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§7222. REVENUE REQUIREMENTS OF SERVICE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