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Enforcement</w:t>
      </w:r>
    </w:p>
    <w:p>
      <w:pPr>
        <w:jc w:val="both"/>
        <w:spacing w:before="100" w:after="100"/>
        <w:ind w:start="360"/>
        <w:ind w:firstLine="360"/>
      </w:pPr>
      <w:r>
        <w:rPr/>
      </w:r>
      <w:r>
        <w:rPr/>
      </w:r>
      <w:r>
        <w:t xml:space="preserve">The provisions of this chapter are considered safety and health standards of the State.  A person who causes, permits or allows work or other activity in violation of the provisions of this chapter may be assessed a civil penalty not exceeding $1,700 for each day the violation continues.</w:t>
      </w:r>
      <w:r>
        <w:t xml:space="preserve">  </w:t>
      </w:r>
      <w:r xmlns:wp="http://schemas.openxmlformats.org/drawingml/2010/wordprocessingDrawing" xmlns:w15="http://schemas.microsoft.com/office/word/2012/wordml">
        <w:rPr>
          <w:rFonts w:ascii="Arial" w:hAnsi="Arial" w:cs="Arial"/>
          <w:sz w:val="22"/>
          <w:szCs w:val="22"/>
        </w:rPr>
        <w:t xml:space="preserve">[PL 2021, c. 318, §6 (AMD).]</w:t>
      </w:r>
    </w:p>
    <w:p>
      <w:pPr>
        <w:jc w:val="both"/>
        <w:spacing w:before="100" w:after="100"/>
        <w:ind w:start="360"/>
        <w:ind w:firstLine="360"/>
      </w:pPr>
      <w:r>
        <w:rPr/>
      </w:r>
      <w:r>
        <w:rPr/>
      </w:r>
      <w:r>
        <w:t xml:space="preserve">Civil penalties may be recovered in a civil action in the name of the State brought in the Superior Court for the county where the violation is alleged to have occurred or where the violator resides or has its principal office.  Interest accrues on the penalties at a rate of 1 1/2% per month except that the interest is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2021, c. 318,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