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§9211. ConnectMaine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§9211. ConnectMaine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§9211. CONNECTMAINE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