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 Collection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Collection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§9408. COLLECTION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