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 SPECIAL INDUSTRY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