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GENERAL PROVISIONS</w:t>
      </w:r>
    </w:p>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§6 (AMD).]</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§7 (AMD).]</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5-D</w:t>
        <w:t xml:space="preserve">.  </w:t>
      </w:r>
      <w:r>
        <w:rPr>
          <w:b/>
        </w:rPr>
        <w:t xml:space="preserve">Lease or rental.</w:t>
        <w:t xml:space="preserve"> </w:t>
      </w:r>
      <w:r>
        <w:t xml:space="preserve"> </w:t>
      </w:r>
      <w:r>
        <w:t xml:space="preserve">"Lease or rental," "lease" or "rental" means any transfer of possession or control of tangible personal property for a fixed or indeterminate term for consideration and may include future options to purchase the property or extend the lease or rental.  "Lease or rental" includes a sublease and subrental.</w:t>
      </w:r>
    </w:p>
    <w:p>
      <w:pPr>
        <w:jc w:val="both"/>
        <w:spacing w:before="100" w:after="0"/>
        <w:ind w:start="360"/>
      </w:pPr>
      <w:r>
        <w:rPr/>
      </w:r>
      <w:r>
        <w:rPr/>
      </w:r>
      <w:r>
        <w:t xml:space="preserve">"Lease or rental" does not include:</w:t>
      </w:r>
    </w:p>
    <w:p>
      <w:pPr>
        <w:jc w:val="both"/>
        <w:spacing w:before="100" w:after="0"/>
        <w:ind w:start="720"/>
      </w:pPr>
      <w:r>
        <w:rPr/>
        <w:t>A</w:t>
        <w:t xml:space="preserve">.  </w:t>
      </w:r>
      <w:r>
        <w:rPr/>
      </w:r>
      <w:r>
        <w:t xml:space="preserve">Leases and contracts payable by rental or license fees for the right of possession and use when such leases and contracts are determined by the assessor to be in lieu of purchase;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B</w:t>
        <w:t xml:space="preserve">.  </w:t>
      </w:r>
      <w:r>
        <w:rPr/>
      </w:r>
      <w:r>
        <w:t xml:space="preserve">A transfer of possession or control of property under a security agreement or deferred payment plan that requires the transfer of title upon completion of the required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C</w:t>
        <w:t xml:space="preserve">.  </w:t>
      </w:r>
      <w:r>
        <w:rPr/>
      </w:r>
      <w:r>
        <w:t xml:space="preserve">Providing tangible personal property along with a person to operate that property, for a fixed or indeterminate period of time, when that person is necessary for the tangible personal property to perform as designed and the person does more than maintain, inspect or set up the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720"/>
      </w:pPr>
      <w:r>
        <w:rPr/>
        <w:t>D</w:t>
        <w:t xml:space="preserve">.  </w:t>
      </w:r>
      <w:r>
        <w:rPr/>
      </w:r>
      <w:r>
        <w:t xml:space="preserve">The lease or rental of property that is subject to the provisions of the service provider tax imposed pursuant to </w:t>
      </w:r>
      <w:r>
        <w:t>chapter 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 (NEW); PL 2023, c. 673, §2 (NEW).]</w:t>
      </w:r>
    </w:p>
    <w:p>
      <w:pPr>
        <w:jc w:val="both"/>
        <w:spacing w:before="100" w:after="0"/>
        <w:ind w:start="360"/>
      </w:pPr>
      <w:r>
        <w:rPr/>
      </w:r>
      <w:r>
        <w:rPr/>
      </w:r>
      <w:r>
        <w:t xml:space="preserve">The characterization of a transaction as a lease or rental under generally accepted accounting principles, the Code, the Uniform Commercial Code or other provisions of federal, state or local law does not affect a determination that a transaction is a lease or rental under </w:t>
      </w:r>
      <w:r>
        <w:t>chapters 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 (NEW); PL 2023, c. 643, Pt. H, §29 (AFF); PL 2023, c. 673, §2 (NEW); PL 2023, c. 673, §28 (AFF).]</w:t>
      </w:r>
    </w:p>
    <w:p>
      <w:pPr>
        <w:jc w:val="both"/>
        <w:spacing w:before="100" w:after="0"/>
        <w:ind w:start="360"/>
        <w:ind w:firstLine="360"/>
      </w:pPr>
      <w:r>
        <w:rPr>
          <w:b/>
        </w:rPr>
        <w:t>5-E</w:t>
        <w:t xml:space="preserve">.  </w:t>
      </w:r>
      <w:r>
        <w:rPr>
          <w:b/>
        </w:rPr>
        <w:t xml:space="preserve">Lessor.</w:t>
        <w:t xml:space="preserve"> </w:t>
      </w:r>
      <w:r>
        <w:t xml:space="preserve"> </w:t>
      </w:r>
      <w:r>
        <w:t xml:space="preserve">"Lessor" means a person who leases or rents tangible personal property located in this State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§3 (NEW); PL 2023, c. 643, Pt. H, §29 (AFF); PL 2023, c. 673, §3 (NEW); PL 2023, c. 673, §28 (AFF).]</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§8 (AMD).]</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§9 (AMD).]</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102‑A,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§10 (AMD).]</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2421‑A,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§11 (AMD).]</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 "Retailer" includes a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§4 (AMD); PL 2023, c. 643, Pt. H, §29 (AFF); PL 2023, c. 673, §4 (AMD); PL 2023, c. 673, §28 (AFF).]</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 or</w:t>
      </w:r>
    </w:p>
    <w:p>
      <w:pPr>
        <w:jc w:val="both"/>
        <w:spacing w:before="100" w:after="0"/>
        <w:ind w:start="1080"/>
      </w:pPr>
      <w:r>
        <w:rPr/>
        <w:t>(</w:t>
        <w:t>18</w:t>
        <w:t xml:space="preserve">)  </w:t>
      </w:r>
      <w:r>
        <w:rPr/>
      </w:r>
      <w:r>
        <w:t xml:space="preserve">The sale or lease or rental to a lessor that has been issued a resale certificate pursuant to </w:t>
      </w:r>
      <w:r>
        <w:t>section 1754‑B, subsection 2‑B</w:t>
      </w:r>
      <w:r>
        <w:t xml:space="preserve"> or </w:t>
      </w:r>
      <w:r>
        <w:t>2‑C</w:t>
      </w:r>
      <w:r>
        <w:t xml:space="preserve"> of tangible personal property for lease or rental.</w:t>
      </w:r>
      <w:r>
        <w:t xml:space="preserve">  </w:t>
      </w:r>
      <w:r xmlns:wp="http://schemas.openxmlformats.org/drawingml/2010/wordprocessingDrawing" xmlns:w15="http://schemas.microsoft.com/office/word/2012/wordml">
        <w:rPr>
          <w:rFonts w:ascii="Arial" w:hAnsi="Arial" w:cs="Arial"/>
          <w:sz w:val="22"/>
          <w:szCs w:val="22"/>
        </w:rPr>
        <w:t xml:space="preserve">[PL 2023, c. 643, Pt. H, §5-11 (AMD); PL 2023, c. 643, Pt. H, §29 (AFF); PL 2023, c. 673, §§5-11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§§5-11 (AMD); PL 2023, c. 643, Pt. H, §29 (AFF); PL 2023, c. 673, §§5-11 (AMD); PL 2023, c. 673, §28 (AFF).]</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rentals, conditional sale contracts and any contract under which possession of the property is given to the purchaser but title is retained by the seller as security for the payment of the purchase price, and leases and contracts that are determined by the assessor to be in lieu of purchase.  Each time period for which a lease or rental payment is charged is considered a separate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§12 (AMD); PL 2023, c. 643, Pt. H, §29 (AFF); PL 2023, c. 673, §12 (AMD); PL 2023, c. 673, §28 (AFF).]</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2023, c. 643, Pt. H, §13 (AMD); PL 2023, c. 643, Pt. H, §29 (AFF); PL 2023, c. 673, §13 (AMD); PL 2023, c. 673, §28 (AFF).]</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or services rejected pursuant to warranty;</w:t>
      </w:r>
    </w:p>
    <w:p>
      <w:pPr>
        <w:jc w:val="both"/>
        <w:spacing w:before="100" w:after="0"/>
        <w:ind w:start="1080"/>
      </w:pPr>
      <w:r>
        <w:rPr/>
        <w:t>(</w:t>
        <w:t>3</w:t>
        <w:t xml:space="preserve">)  </w:t>
      </w:r>
      <w:r>
        <w:rPr/>
      </w:r>
      <w:r>
        <w:t xml:space="preserve">The price of property returned or services rejected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w:t>
      </w:r>
    </w:p>
    <w:p>
      <w:pPr>
        <w:jc w:val="both"/>
        <w:spacing w:before="100" w:after="0"/>
        <w:ind w:start="1080"/>
      </w:pPr>
      <w:r>
        <w:rPr/>
        <w:t>(</w:t>
        <w:t>13</w:t>
        <w:t xml:space="preserve">)  </w:t>
      </w:r>
      <w:r>
        <w:rPr/>
      </w:r>
      <w:r>
        <w:t xml:space="preserve">A paint stewardship assessment imposed pursuant to </w:t>
      </w:r>
      <w:r>
        <w:t>Title 38, section 2144</w:t>
      </w:r>
      <w:r>
        <w:t xml:space="preserve">; or</w:t>
      </w:r>
    </w:p>
    <w:p>
      <w:pPr>
        <w:jc w:val="both"/>
        <w:spacing w:before="100" w:after="0"/>
        <w:ind w:start="1080"/>
      </w:pPr>
      <w:r>
        <w:rPr/>
        <w:t>(</w:t>
        <w:t>14</w:t>
        <w:t xml:space="preserve">)  </w:t>
      </w:r>
      <w:r>
        <w:rPr/>
      </w:r>
      <w:r>
        <w:t xml:space="preserve">For lease or rental payments, separately stated charges for sales of optional insurance coverage for the protection of the lessee or of the lessee's personal property, such as liability insurance, personal accident insurance or personal effects protection.</w:t>
      </w:r>
      <w:r>
        <w:t xml:space="preserve">  </w:t>
      </w:r>
      <w:r xmlns:wp="http://schemas.openxmlformats.org/drawingml/2010/wordprocessingDrawing" xmlns:w15="http://schemas.microsoft.com/office/word/2012/wordml">
        <w:rPr>
          <w:rFonts w:ascii="Arial" w:hAnsi="Arial" w:cs="Arial"/>
          <w:sz w:val="22"/>
          <w:szCs w:val="22"/>
        </w:rPr>
        <w:t xml:space="preserve">[PL 2023, c. 643, Pt. H, §§14-18 (AMD); PL 2023, c. 643, Pt. H, §29 (AFF); PL 2023, c. 673, §§14-18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§§13-18 (AMD); PL 2023, c. 643, Pt. H, §29 (AFF); PL 2023, c. 673, §§13-18 (AMD); PL 2023, c. 673, §28 (AFF).]</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§19 (AMD); PL 2023, c. 643, Pt. H, §29 (AFF); PL 2023, c. 673, §19 (AMD); PL 2023, c. 673, §28 (AFF).]</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PL 2023, c. 643, Pt. H, §§2-19 (AMD). PL 2023, c. 643, Pt. H, §29 (AFF). PL 2023, c. 673, §§2-19 (AMD). PL 2023, c. 673, §28 (AFF). PL 2023, c. 679, Pt. C, §§6-11 (AMD). </w:t>
      </w:r>
    </w:p>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§20 (AMD); PL 2023, c. 643, Pt. H, §29 (AFF); PL 2023, c. 673, §20 (AMD); PL 2023, c. 673, §28 (AFF).]</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§20 (AMD); PL 2023, c. 643, Pt. H, §29 (AFF); PL 2023, c. 673, §20 (AMD); PL 2023, c. 673, §28 (AFF).]</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PL 2023, c. 643, Pt. H, §20 (AMD). PL 2023, c. 643, Pt. H, §29 (AFF). PL 2023, c. 673, §20 (AMD). PL 2023, c. 643, §28 (AFF). </w:t>
      </w:r>
    </w:p>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jc w:val="both"/>
        <w:spacing w:before="100" w:after="100"/>
        <w:ind w:start="1080" w:hanging="720"/>
      </w:pPr>
      <w:r>
        <w:rPr>
          <w:b/>
        </w:rPr>
        <w:t>§</w:t>
        <w:t>1756</w:t>
        <w:t xml:space="preserve">.  </w:t>
      </w:r>
      <w:r>
        <w:rPr>
          <w:b/>
        </w:rPr>
        <w:t xml:space="preserve">Voluntary registration</w:t>
      </w:r>
    </w:p>
    <w:p>
      <w:pPr>
        <w:jc w:val="both"/>
        <w:spacing w:before="100" w:after="100"/>
        <w:ind w:start="360"/>
        <w:ind w:firstLine="360"/>
      </w:pPr>
      <w:r>
        <w:rPr/>
      </w:r>
      <w:r>
        <w:rPr/>
      </w:r>
      <w:r>
        <w:t xml:space="preserve">Every seller of tangible personal property or taxable services that is not required by </w:t>
      </w:r>
      <w:r>
        <w:t>section 1754‑B</w:t>
      </w:r>
      <w:r>
        <w:t xml:space="preserve"> to register may register upon those terms that the assessor prescribes.  Upon registration, the seller has the rights and duties of a person required to be registered and is subject to the same penalties, except that the seller's liability may be limited to tax actually collected.  The seller so registered may at any time surrender the seller's registration certificate and request that the registration certificate be canceled.  Upon receipt of the certificate and request, the assessor shall grant the cancellation, if it appears to the assessor that the seller has satisfied all liability to the State and that the seller is not required by law to register.  Upon surrender of the certificate, the seller must cease to collect sales or use taxes upon sales that occur on and after the date of the surrender.</w:t>
      </w:r>
      <w:r>
        <w:t xml:space="preserve">  </w:t>
      </w:r>
      <w:r xmlns:wp="http://schemas.openxmlformats.org/drawingml/2010/wordprocessingDrawing" xmlns:w15="http://schemas.microsoft.com/office/word/2012/wordml">
        <w:rPr>
          <w:rFonts w:ascii="Arial" w:hAnsi="Arial" w:cs="Arial"/>
          <w:sz w:val="22"/>
          <w:szCs w:val="22"/>
        </w:rPr>
        <w:t xml:space="preserve">[PL 1995, c. 640,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 (AMD). PL 1987, c. 497, §35 (AMD). PL 1995, c. 640, §4 (RPR). </w:t>
      </w:r>
    </w:p>
    <w:p>
      <w:pPr>
        <w:jc w:val="both"/>
        <w:spacing w:before="100" w:after="100"/>
        <w:ind w:start="1080" w:hanging="720"/>
      </w:pPr>
      <w:r>
        <w:rPr>
          <w:b/>
        </w:rPr>
        <w:t>§</w:t>
        <w:t>1757</w:t>
        <w:t xml:space="preserve">.  </w:t>
      </w:r>
      <w:r>
        <w:rPr>
          <w:b/>
        </w:rPr>
        <w:t xml:space="preserve">Revocation of registration</w:t>
      </w:r>
    </w:p>
    <w:p>
      <w:pPr>
        <w:jc w:val="both"/>
        <w:spacing w:before="100" w:after="100"/>
        <w:ind w:start="360"/>
        <w:ind w:firstLine="360"/>
      </w:pPr>
      <w:r>
        <w:rPr/>
      </w:r>
      <w:r>
        <w:rPr/>
      </w:r>
      <w:r>
        <w:t xml:space="preserve">The State Tax Assessor may revoke the registration certificate of a registrant who fails to file, within 15 days after receipt of notice, a bond or deposit required under </w:t>
      </w:r>
      <w:r>
        <w:t>section 1759</w:t>
      </w:r>
      <w:r>
        <w:t xml:space="preserve"> and may revoke for cause a registration certificate issued under this Part.  The assessor may revoke the registration certificate of a registrant who fails to file with the assessor within 15 days after the due date a return as required under this Part.  A revocation is reviewable in accordance with </w:t>
      </w:r>
      <w:r>
        <w:t>section 151</w:t>
      </w:r>
      <w:r>
        <w:t xml:space="preserve">.  If a registrant fails to pay any tax required by this Part when the tax is shown to be due on a return filed by the registrant, or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the delinquent tax is paid or a bond or deposit required under section 1759 is filed with the assessor or it is determined by an appropriate court that revocation is not warranted.</w:t>
      </w:r>
      <w:r>
        <w:t xml:space="preserve">  </w:t>
      </w:r>
      <w:r xmlns:wp="http://schemas.openxmlformats.org/drawingml/2010/wordprocessingDrawing" xmlns:w15="http://schemas.microsoft.com/office/word/2012/wordml">
        <w:rPr>
          <w:rFonts w:ascii="Arial" w:hAnsi="Arial" w:cs="Arial"/>
          <w:sz w:val="22"/>
          <w:szCs w:val="22"/>
        </w:rPr>
        <w:t xml:space="preserve">[PL 2007, c. 438,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§702 (RPR). PL 1979, c. 520, §3 (AMD). PL 1985, c. 691, §9 (AMD). PL 2007, c. 438, §32 (AMD). </w:t>
      </w:r>
    </w:p>
    <w:p>
      <w:pPr>
        <w:jc w:val="both"/>
        <w:spacing w:before="100" w:after="100"/>
        <w:ind w:start="1080" w:hanging="720"/>
      </w:pPr>
      <w:r>
        <w:rPr>
          <w:b/>
        </w:rPr>
        <w:t>§</w:t>
        <w:t>1758</w:t>
        <w:t xml:space="preserve">.  </w:t>
      </w:r>
      <w:r>
        <w:rPr>
          <w:b/>
        </w:rPr>
        <w:t xml:space="preserve">Use tax on interim rental of property purchased for resale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(RPR). PL 2023, c. 643, Pt. H, §21 (RP). PL 2023, c. 643, Pt. H, §29 (AFF). PL 2023, c. 673, §21 (RP). PL 2023, c. 673, §28 (AFF). </w:t>
      </w:r>
    </w:p>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w:pPr>
        <w:jc w:val="both"/>
        <w:spacing w:before="100" w:after="0"/>
        <w:ind w:start="360"/>
        <w:ind w:firstLine="360"/>
      </w:pPr>
      <w:r>
        <w:rPr>
          <w:b/>
        </w:rPr>
        <w:t>115</w:t>
        <w:t xml:space="preserve">.  </w:t>
      </w:r>
      <w:r>
        <w:rPr>
          <w:b/>
        </w:rPr>
        <w:t xml:space="preserve">Section 501(c)(3) nonprofit organizations.</w:t>
        <w:t xml:space="preserve"> </w:t>
      </w:r>
      <w:r>
        <w:t xml:space="preserve"> </w:t>
      </w:r>
      <w:r>
        <w:t xml:space="preserve">Beginning January 1, 2025, sales to a nonprofit organization that has been determined by the United States Internal Revenue Service to be exempt from federal income taxation under Section 501(c)(3) of the Code, if the tangible personal property or taxable services sold are to be used primarily for the purposes for which the nonprofit organization was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§22 (NEW); PL 2023, c. 643, Pt. H,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PL 2023, c. 643, Pt. H, §22 (AMD). PL 2023, c. 643, Pt. H, §29 (AFF). </w:t>
      </w:r>
    </w:p>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jc w:val="both"/>
        <w:spacing w:before="100" w:after="100"/>
        <w:ind w:start="1080" w:hanging="720"/>
      </w:pPr>
      <w:r>
        <w:rPr>
          <w:b/>
        </w:rPr>
        <w:t>§</w:t>
        <w:t>1760-D</w:t>
        <w:t xml:space="preserve">.  </w:t>
      </w:r>
      <w:r>
        <w:rPr>
          <w:b/>
        </w:rPr>
        <w:t xml:space="preserve">Exemptions of certain products; information posted on publicly accessible website</w:t>
      </w:r>
    </w:p>
    <w:p>
      <w:pPr>
        <w:jc w:val="both"/>
        <w:spacing w:before="100" w:after="100"/>
        <w:ind w:start="360"/>
        <w:ind w:firstLine="360"/>
      </w:pPr>
      <w:r>
        <w:rPr>
          <w:b/>
        </w:rPr>
        <w:t>1</w:t>
        <w:t xml:space="preserve">.  </w:t>
      </w:r>
      <w:r>
        <w:rPr>
          <w:b/>
        </w:rPr>
        <w:t xml:space="preserve">List of products.</w:t>
        <w:t xml:space="preserve"> </w:t>
      </w:r>
      <w:r>
        <w:t xml:space="preserve"> </w:t>
      </w:r>
      <w:r>
        <w:t xml:space="preserve">The assessor shall post on the bureau's publicly accessible website, and update quarterly, a list of products used in commercial agricultural or silvicultural crop production or in animal agricultural production with respect to which the assessor has made a written determination on the applicability of a sales tax exemption under </w:t>
      </w:r>
      <w:r>
        <w:t>section 1760, subsection 7‑B</w:t>
      </w:r>
      <w:r>
        <w:t xml:space="preserve"> or </w:t>
      </w:r>
      <w:r>
        <w:t>7‑C</w:t>
      </w:r>
      <w:r>
        <w:t xml:space="preserve"> and of items of depreciable machinery and equipment that the assessor has determined may be eligible for a refund of sales tax under </w:t>
      </w:r>
      <w:r>
        <w:t>section 2013</w:t>
      </w:r>
      <w:r>
        <w:t xml:space="preserve">.  In the case of products exempt from tax under </w:t>
      </w:r>
      <w:r>
        <w:t>section 1760, subsection 7‑B</w:t>
      </w:r>
      <w:r>
        <w:t xml:space="preserve"> or </w:t>
      </w:r>
      <w:r>
        <w:t>7‑C</w:t>
      </w:r>
      <w:r>
        <w:t xml:space="preserve">, the list must include the name of the product and any other information necessary to identify the product at the point of sale.</w:t>
      </w:r>
    </w:p>
    <w:p>
      <w:pPr>
        <w:jc w:val="both"/>
        <w:spacing w:before="100" w:after="0"/>
        <w:ind w:start="360"/>
      </w:pPr>
      <w:r>
        <w:rPr/>
      </w:r>
      <w:r>
        <w:rPr/>
      </w:r>
      <w:r>
        <w:t xml:space="preserve">When the assessor receives a request in writing for a determination as to whether or not a product used in commercial agricultural or silvicultural crop production or in animal agricultural production is exempt from sales tax under </w:t>
      </w:r>
      <w:r>
        <w:t>section 1760, subsection 7‑B</w:t>
      </w:r>
      <w:r>
        <w:t xml:space="preserve"> or 7-C, the assessor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w:pPr>
        <w:jc w:val="both"/>
        <w:spacing w:before="100" w:after="100"/>
        <w:ind w:start="360"/>
        <w:ind w:firstLine="360"/>
      </w:pPr>
      <w:r>
        <w:rPr>
          <w:b/>
        </w:rPr>
        <w:t>2</w:t>
        <w:t xml:space="preserve">.  </w:t>
      </w:r>
      <w:r>
        <w:rPr>
          <w:b/>
        </w:rPr>
        <w:t xml:space="preserve">Information on procedures for appeals and refunds.</w:t>
        <w:t xml:space="preserve"> </w:t>
      </w:r>
      <w:r>
        <w:t xml:space="preserve"> </w:t>
      </w:r>
      <w:r>
        <w:t xml:space="preserve">The assessor shall provide information on the bureau's publicly accessible website regarding the procedures for:</w:t>
      </w:r>
    </w:p>
    <w:p>
      <w:pPr>
        <w:jc w:val="both"/>
        <w:spacing w:before="100" w:after="0"/>
        <w:ind w:start="720"/>
      </w:pPr>
      <w:r>
        <w:rPr/>
        <w:t>A</w:t>
        <w:t xml:space="preserve">.  </w:t>
      </w:r>
      <w:r>
        <w:rPr/>
      </w:r>
      <w:r>
        <w:t xml:space="preserve">Requesting a refund of sales tax paid on an exempt product;</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B</w:t>
        <w:t xml:space="preserve">.  </w:t>
      </w:r>
      <w:r>
        <w:rPr/>
      </w:r>
      <w:r>
        <w:t xml:space="preserve">Appealing an assessment of tax liability; and</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C</w:t>
        <w:t xml:space="preserve">.  </w:t>
      </w:r>
      <w:r>
        <w:rPr/>
      </w:r>
      <w:r>
        <w:t xml:space="preserve">Appealing the denial of an exemption certificate or refund request under </w:t>
      </w:r>
      <w:r>
        <w:t>section 2013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§2 (NEW). PL 2011, c. 285, §6 (AMD). PL 2011, c. 285, §15 (AFF). </w:t>
      </w:r>
    </w:p>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jc w:val="both"/>
        <w:spacing w:before="100" w:after="100"/>
        <w:ind w:start="1080" w:hanging="720"/>
      </w:pPr>
      <w:r>
        <w:rPr>
          <w:b/>
        </w:rPr>
        <w:t>§</w:t>
        <w:t>1762</w:t>
        <w:t xml:space="preserve">.  </w:t>
      </w:r>
      <w:r>
        <w:rPr>
          <w:b/>
        </w:rPr>
        <w:t xml:space="preserve">Sale of business; purchaser liable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§4 (AMD). PL 1991, c. 846, §23 (RP). PL 1991, c. 846, §39 (AFF). </w:t>
      </w:r>
    </w:p>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