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§2 (AMD). PL 1973, c. 788, §188 (RP). </w:t>
      </w:r>
    </w:p>
    <w:p>
      <w:pPr>
        <w:jc w:val="both"/>
        <w:spacing w:before="100" w:after="100"/>
        <w:ind w:start="1080" w:hanging="720"/>
      </w:pPr>
      <w:r>
        <w:rPr>
          <w:b/>
        </w:rPr>
        <w:t>§</w:t>
        <w:t>2352</w:t>
        <w:t xml:space="preserve">.  </w:t>
      </w:r>
      <w:r>
        <w:rPr>
          <w:b/>
        </w:rPr>
        <w:t xml:space="preserve">Authority of state tax assessor to examine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§3 (AMD). PL 1973, c. 788, §189 (AMD). PL 1975, c. 623, §58 (AMD). PL 1977, c. 679, §§9, 10 (AMD). PL 1981, c. 364,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