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MINING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371. MINING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