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455. USE FUEL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455. USE FUEL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